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17F28" w14:textId="77777777" w:rsidR="008F2666" w:rsidRPr="005973DD" w:rsidRDefault="00C4237B" w:rsidP="005973DD">
      <w:pPr>
        <w:pStyle w:val="Overskrift1"/>
      </w:pPr>
      <w:r w:rsidRPr="005973DD">
        <w:t>Vejledning om efterlevelse af § 3, stk. 3, nr. 4 i Energioplysningsbekendtgørelsen</w:t>
      </w:r>
    </w:p>
    <w:p w14:paraId="4057EB09" w14:textId="77777777" w:rsidR="008F2666" w:rsidRPr="00C4237B" w:rsidRDefault="008F2666" w:rsidP="008F2666"/>
    <w:p w14:paraId="07E09961" w14:textId="77777777" w:rsidR="00AC60EA" w:rsidRPr="00C4237B" w:rsidRDefault="009E71B6" w:rsidP="008F2666">
      <w:r w:rsidRPr="00C4237B">
        <w:t xml:space="preserve"> </w:t>
      </w:r>
    </w:p>
    <w:tbl>
      <w:tblPr>
        <w:tblStyle w:val="Tabel-Gitter"/>
        <w:tblpPr w:leftFromText="142" w:rightFromText="142" w:vertAnchor="page" w:tblpX="7712" w:tblpY="28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8F2666" w:rsidRPr="00A53C43" w14:paraId="681D2652" w14:textId="77777777" w:rsidTr="00A46851">
        <w:tc>
          <w:tcPr>
            <w:tcW w:w="2235" w:type="dxa"/>
          </w:tcPr>
          <w:p w14:paraId="4E68E14C" w14:textId="77777777" w:rsidR="008F2666" w:rsidRPr="00A53C43" w:rsidRDefault="008F2666" w:rsidP="00A46851">
            <w:pPr>
              <w:spacing w:line="220" w:lineRule="exact"/>
              <w:rPr>
                <w:b/>
                <w:sz w:val="16"/>
                <w:szCs w:val="16"/>
              </w:rPr>
            </w:pPr>
            <w:r w:rsidRPr="00A53C43">
              <w:rPr>
                <w:b/>
                <w:sz w:val="16"/>
                <w:szCs w:val="16"/>
              </w:rPr>
              <w:t>Kontor/afdeling</w:t>
            </w:r>
          </w:p>
          <w:p w14:paraId="28981041" w14:textId="77777777" w:rsidR="008F2666" w:rsidRPr="00A53C43" w:rsidRDefault="00C4237B" w:rsidP="00A46851">
            <w:pPr>
              <w:spacing w:line="220" w:lineRule="exact"/>
              <w:rPr>
                <w:sz w:val="16"/>
                <w:szCs w:val="16"/>
              </w:rPr>
            </w:pPr>
            <w:r>
              <w:rPr>
                <w:sz w:val="16"/>
                <w:szCs w:val="16"/>
              </w:rPr>
              <w:t>Center for forsyning</w:t>
            </w:r>
          </w:p>
          <w:p w14:paraId="6CB459D0" w14:textId="77777777" w:rsidR="00A53C43" w:rsidRDefault="00A53C43" w:rsidP="00A46851">
            <w:pPr>
              <w:spacing w:line="220" w:lineRule="exact"/>
              <w:rPr>
                <w:sz w:val="16"/>
                <w:szCs w:val="16"/>
              </w:rPr>
            </w:pPr>
          </w:p>
          <w:p w14:paraId="5DE67659" w14:textId="77777777" w:rsidR="008F2666" w:rsidRPr="004F024B" w:rsidRDefault="008F2666" w:rsidP="00A46851">
            <w:pPr>
              <w:spacing w:line="220" w:lineRule="exact"/>
              <w:rPr>
                <w:b/>
                <w:sz w:val="16"/>
                <w:szCs w:val="16"/>
              </w:rPr>
            </w:pPr>
            <w:r w:rsidRPr="004F024B">
              <w:rPr>
                <w:b/>
                <w:sz w:val="16"/>
                <w:szCs w:val="16"/>
              </w:rPr>
              <w:t>Dato</w:t>
            </w:r>
          </w:p>
          <w:p w14:paraId="6D5722D9" w14:textId="37111DDB" w:rsidR="008F2666" w:rsidRPr="007469FD" w:rsidRDefault="0021711B" w:rsidP="00A46851">
            <w:pPr>
              <w:spacing w:line="220" w:lineRule="exact"/>
              <w:rPr>
                <w:sz w:val="16"/>
                <w:szCs w:val="16"/>
                <w:lang w:val="en-US"/>
              </w:rPr>
            </w:pPr>
            <w:r>
              <w:rPr>
                <w:sz w:val="16"/>
                <w:szCs w:val="16"/>
                <w:lang w:val="en-US"/>
              </w:rPr>
              <w:t>30</w:t>
            </w:r>
            <w:r w:rsidR="007469FD" w:rsidRPr="007469FD">
              <w:rPr>
                <w:sz w:val="16"/>
                <w:szCs w:val="16"/>
                <w:lang w:val="en-US"/>
              </w:rPr>
              <w:t>-06-2021</w:t>
            </w:r>
          </w:p>
          <w:p w14:paraId="42E0DBF6" w14:textId="77777777" w:rsidR="002611C9" w:rsidRPr="009E71B6" w:rsidRDefault="002611C9" w:rsidP="00A46851">
            <w:pPr>
              <w:spacing w:line="220" w:lineRule="exact"/>
              <w:rPr>
                <w:sz w:val="16"/>
                <w:szCs w:val="16"/>
                <w:lang w:val="en-US"/>
              </w:rPr>
            </w:pPr>
          </w:p>
          <w:p w14:paraId="47635365" w14:textId="77777777" w:rsidR="008F2666" w:rsidRPr="009E71B6" w:rsidRDefault="00A53C43" w:rsidP="00A46851">
            <w:pPr>
              <w:spacing w:line="220" w:lineRule="exact"/>
              <w:rPr>
                <w:sz w:val="16"/>
                <w:szCs w:val="16"/>
                <w:lang w:val="en-US"/>
              </w:rPr>
            </w:pPr>
            <w:r w:rsidRPr="009E71B6">
              <w:rPr>
                <w:b/>
                <w:sz w:val="16"/>
                <w:szCs w:val="16"/>
                <w:lang w:val="en-US"/>
              </w:rPr>
              <w:t xml:space="preserve">J </w:t>
            </w:r>
            <w:proofErr w:type="spellStart"/>
            <w:r w:rsidRPr="009E71B6">
              <w:rPr>
                <w:b/>
                <w:sz w:val="16"/>
                <w:szCs w:val="16"/>
                <w:lang w:val="en-US"/>
              </w:rPr>
              <w:t>nr</w:t>
            </w:r>
            <w:proofErr w:type="spellEnd"/>
            <w:r w:rsidRPr="009E71B6">
              <w:rPr>
                <w:b/>
                <w:sz w:val="16"/>
                <w:szCs w:val="16"/>
                <w:lang w:val="en-US"/>
              </w:rPr>
              <w:t>.</w:t>
            </w:r>
            <w:r w:rsidRPr="009E71B6">
              <w:rPr>
                <w:sz w:val="16"/>
                <w:szCs w:val="16"/>
                <w:lang w:val="en-US"/>
              </w:rPr>
              <w:t xml:space="preserve"> </w:t>
            </w:r>
          </w:p>
          <w:p w14:paraId="48831A2A" w14:textId="77777777" w:rsidR="002611C9" w:rsidRPr="009E71B6" w:rsidRDefault="002611C9" w:rsidP="00A46851">
            <w:pPr>
              <w:spacing w:line="220" w:lineRule="exact"/>
              <w:rPr>
                <w:sz w:val="16"/>
                <w:szCs w:val="16"/>
                <w:lang w:val="en-US"/>
              </w:rPr>
            </w:pPr>
          </w:p>
          <w:p w14:paraId="688F9A3E" w14:textId="77777777" w:rsidR="008F2666" w:rsidRPr="00A53C43" w:rsidRDefault="008F2666" w:rsidP="00A46851">
            <w:pPr>
              <w:spacing w:line="220" w:lineRule="exact"/>
              <w:rPr>
                <w:sz w:val="16"/>
                <w:szCs w:val="16"/>
              </w:rPr>
            </w:pPr>
            <w:r w:rsidRPr="00A53C43">
              <w:rPr>
                <w:sz w:val="16"/>
                <w:szCs w:val="16"/>
              </w:rPr>
              <w:t>/</w:t>
            </w:r>
            <w:r w:rsidR="00C4237B">
              <w:rPr>
                <w:sz w:val="16"/>
                <w:szCs w:val="16"/>
              </w:rPr>
              <w:t>PRSN</w:t>
            </w:r>
          </w:p>
        </w:tc>
      </w:tr>
    </w:tbl>
    <w:p w14:paraId="415403E9" w14:textId="77777777" w:rsidR="008F2666" w:rsidRDefault="008F2666" w:rsidP="00923F35">
      <w:pPr>
        <w:spacing w:after="700"/>
      </w:pPr>
    </w:p>
    <w:p w14:paraId="7733C3F1" w14:textId="77777777" w:rsidR="00125198" w:rsidRDefault="00125198" w:rsidP="00125198">
      <w:pPr>
        <w:spacing w:line="360" w:lineRule="auto"/>
        <w:rPr>
          <w:b/>
        </w:rPr>
      </w:pPr>
      <w:r>
        <w:rPr>
          <w:b/>
        </w:rPr>
        <w:t>Indhold</w:t>
      </w:r>
      <w:r w:rsidRPr="00347BCC">
        <w:rPr>
          <w:b/>
        </w:rPr>
        <w:t xml:space="preserve"> </w:t>
      </w:r>
    </w:p>
    <w:p w14:paraId="17F0DC2E" w14:textId="24C907C2" w:rsidR="00125198" w:rsidRDefault="00125198" w:rsidP="00125198">
      <w:pPr>
        <w:spacing w:line="360" w:lineRule="auto"/>
        <w:jc w:val="both"/>
      </w:pPr>
      <w:r w:rsidRPr="00C4237B">
        <w:t>Den</w:t>
      </w:r>
      <w:r>
        <w:t>ne</w:t>
      </w:r>
      <w:r w:rsidRPr="00C4237B">
        <w:t xml:space="preserve"> vejledning omhandler</w:t>
      </w:r>
      <w:r>
        <w:t>, hvordan elhandel</w:t>
      </w:r>
      <w:bookmarkStart w:id="0" w:name="_GoBack"/>
      <w:bookmarkEnd w:id="0"/>
      <w:r>
        <w:t>svirksomheder skal efterleve</w:t>
      </w:r>
      <w:r w:rsidRPr="00C4237B">
        <w:t xml:space="preserve"> </w:t>
      </w:r>
      <w:r>
        <w:t>§ 3, stk. 3, nr. 4 i energioplysningsbekendtgørelsen.</w:t>
      </w:r>
      <w:r>
        <w:rPr>
          <w:rStyle w:val="Fodnotehenvisning"/>
        </w:rPr>
        <w:footnoteReference w:id="1"/>
      </w:r>
    </w:p>
    <w:p w14:paraId="0E3B8C48" w14:textId="77777777" w:rsidR="00125198" w:rsidRDefault="00125198" w:rsidP="00125198">
      <w:pPr>
        <w:spacing w:line="360" w:lineRule="auto"/>
        <w:jc w:val="both"/>
        <w:rPr>
          <w:b/>
        </w:rPr>
      </w:pPr>
      <w:r w:rsidRPr="00C4237B">
        <w:rPr>
          <w:b/>
          <w:noProof/>
          <w:lang w:eastAsia="da-DK"/>
        </w:rPr>
        <mc:AlternateContent>
          <mc:Choice Requires="wps">
            <w:drawing>
              <wp:anchor distT="45720" distB="45720" distL="114300" distR="114300" simplePos="0" relativeHeight="251661312" behindDoc="0" locked="0" layoutInCell="1" allowOverlap="1" wp14:anchorId="21FDCCA9" wp14:editId="20A12ABD">
                <wp:simplePos x="0" y="0"/>
                <wp:positionH relativeFrom="column">
                  <wp:posOffset>430530</wp:posOffset>
                </wp:positionH>
                <wp:positionV relativeFrom="paragraph">
                  <wp:posOffset>224155</wp:posOffset>
                </wp:positionV>
                <wp:extent cx="3869690" cy="1753870"/>
                <wp:effectExtent l="0" t="0" r="16510" b="17780"/>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1753870"/>
                        </a:xfrm>
                        <a:prstGeom prst="rect">
                          <a:avLst/>
                        </a:prstGeom>
                        <a:solidFill>
                          <a:schemeClr val="accent1">
                            <a:lumMod val="75000"/>
                          </a:schemeClr>
                        </a:solidFill>
                        <a:ln w="9525">
                          <a:solidFill>
                            <a:srgbClr val="000000"/>
                          </a:solidFill>
                          <a:miter lim="800000"/>
                          <a:headEnd/>
                          <a:tailEnd/>
                        </a:ln>
                      </wps:spPr>
                      <wps:txbx>
                        <w:txbxContent>
                          <w:p w14:paraId="7A3CB2DE" w14:textId="77777777" w:rsidR="00125198" w:rsidRPr="00315619" w:rsidRDefault="00125198" w:rsidP="00125198">
                            <w:pPr>
                              <w:jc w:val="both"/>
                              <w:rPr>
                                <w:i/>
                                <w:color w:val="FFFFFF" w:themeColor="background1"/>
                              </w:rPr>
                            </w:pPr>
                            <w:r w:rsidRPr="00315619">
                              <w:rPr>
                                <w:i/>
                                <w:color w:val="FFFFFF" w:themeColor="background1"/>
                              </w:rPr>
                              <w:t>§ 3. Elhandelsvirksomheder skal sikre, at slutkunder, som virksomheden har et kundeforhold til, modtager en faktura på grundlag af faktisk forbrug mindst én gang årligt.</w:t>
                            </w:r>
                          </w:p>
                          <w:p w14:paraId="05A6E065" w14:textId="77777777" w:rsidR="00125198" w:rsidRPr="00315619" w:rsidRDefault="00125198" w:rsidP="00125198">
                            <w:pPr>
                              <w:jc w:val="both"/>
                              <w:rPr>
                                <w:i/>
                                <w:color w:val="FFFFFF" w:themeColor="background1"/>
                              </w:rPr>
                            </w:pPr>
                            <w:r w:rsidRPr="00315619">
                              <w:rPr>
                                <w:i/>
                                <w:color w:val="FFFFFF" w:themeColor="background1"/>
                              </w:rPr>
                              <w:t>(…)</w:t>
                            </w:r>
                          </w:p>
                          <w:p w14:paraId="6DFB2BF9" w14:textId="77777777" w:rsidR="00125198" w:rsidRPr="00315619" w:rsidRDefault="00125198" w:rsidP="00125198">
                            <w:pPr>
                              <w:jc w:val="both"/>
                              <w:rPr>
                                <w:i/>
                                <w:color w:val="FFFFFF" w:themeColor="background1"/>
                              </w:rPr>
                            </w:pPr>
                            <w:r w:rsidRPr="00315619">
                              <w:rPr>
                                <w:i/>
                                <w:color w:val="FFFFFF" w:themeColor="background1"/>
                              </w:rPr>
                              <w:t>Stk. 3. Følgende oplysninger skal gives sammen med eller som henvisning på fakturaen på en klar og letforståelig måde:</w:t>
                            </w:r>
                          </w:p>
                          <w:p w14:paraId="57D2F2E1" w14:textId="77777777" w:rsidR="00125198" w:rsidRPr="00315619" w:rsidRDefault="00125198" w:rsidP="00125198">
                            <w:pPr>
                              <w:jc w:val="both"/>
                              <w:rPr>
                                <w:i/>
                                <w:color w:val="FFFFFF" w:themeColor="background1"/>
                              </w:rPr>
                            </w:pPr>
                            <w:r w:rsidRPr="00315619">
                              <w:rPr>
                                <w:i/>
                                <w:color w:val="FFFFFF" w:themeColor="background1"/>
                              </w:rPr>
                              <w:t>(…)</w:t>
                            </w:r>
                          </w:p>
                          <w:p w14:paraId="52BC92A8" w14:textId="77777777" w:rsidR="00125198" w:rsidRPr="00315619" w:rsidRDefault="00125198" w:rsidP="00125198">
                            <w:pPr>
                              <w:jc w:val="both"/>
                              <w:rPr>
                                <w:b/>
                                <w:i/>
                                <w:color w:val="FFFFFF" w:themeColor="background1"/>
                              </w:rPr>
                            </w:pPr>
                            <w:r w:rsidRPr="00315619">
                              <w:rPr>
                                <w:b/>
                                <w:i/>
                                <w:color w:val="FFFFFF" w:themeColor="background1"/>
                              </w:rPr>
                              <w:t>4) En sammenligning med en referenceslutkunde i samme brugerkategori.</w:t>
                            </w:r>
                          </w:p>
                          <w:p w14:paraId="2753069B" w14:textId="77777777" w:rsidR="00125198" w:rsidRPr="00C4237B" w:rsidRDefault="00125198" w:rsidP="00125198">
                            <w:pPr>
                              <w:jc w:val="both"/>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DCCA9" id="_x0000_t202" coordsize="21600,21600" o:spt="202" path="m,l,21600r21600,l21600,xe">
                <v:stroke joinstyle="miter"/>
                <v:path gradientshapeok="t" o:connecttype="rect"/>
              </v:shapetype>
              <v:shape id="Tekstfelt 2" o:spid="_x0000_s1026" type="#_x0000_t202" style="position:absolute;left:0;text-align:left;margin-left:33.9pt;margin-top:17.65pt;width:304.7pt;height:13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" fillcolor="#00707d [2404]">
                <v:textbox>
                  <w:txbxContent>
                    <w:p w14:paraId="7A3CB2DE" w14:textId="77777777" w:rsidR="00125198" w:rsidRPr="00315619" w:rsidRDefault="00125198" w:rsidP="00125198">
                      <w:pPr>
                        <w:jc w:val="both"/>
                        <w:rPr>
                          <w:i/>
                          <w:color w:val="FFFFFF" w:themeColor="background1"/>
                        </w:rPr>
                      </w:pPr>
                      <w:r w:rsidRPr="00315619">
                        <w:rPr>
                          <w:i/>
                          <w:color w:val="FFFFFF" w:themeColor="background1"/>
                        </w:rPr>
                        <w:t>§ 3. Elhandelsvirksomheder skal sikre, at slutkunder, som virksomheden har et kundeforhold til, modtager en faktura på grundlag af faktisk forbrug mindst én gang årligt.</w:t>
                      </w:r>
                    </w:p>
                    <w:p w14:paraId="05A6E065" w14:textId="77777777" w:rsidR="00125198" w:rsidRPr="00315619" w:rsidRDefault="00125198" w:rsidP="00125198">
                      <w:pPr>
                        <w:jc w:val="both"/>
                        <w:rPr>
                          <w:i/>
                          <w:color w:val="FFFFFF" w:themeColor="background1"/>
                        </w:rPr>
                      </w:pPr>
                      <w:r w:rsidRPr="00315619">
                        <w:rPr>
                          <w:i/>
                          <w:color w:val="FFFFFF" w:themeColor="background1"/>
                        </w:rPr>
                        <w:t>(…)</w:t>
                      </w:r>
                    </w:p>
                    <w:p w14:paraId="6DFB2BF9" w14:textId="77777777" w:rsidR="00125198" w:rsidRPr="00315619" w:rsidRDefault="00125198" w:rsidP="00125198">
                      <w:pPr>
                        <w:jc w:val="both"/>
                        <w:rPr>
                          <w:i/>
                          <w:color w:val="FFFFFF" w:themeColor="background1"/>
                        </w:rPr>
                      </w:pPr>
                      <w:r w:rsidRPr="00315619">
                        <w:rPr>
                          <w:i/>
                          <w:color w:val="FFFFFF" w:themeColor="background1"/>
                        </w:rPr>
                        <w:t>Stk. 3. Følgende oplysninger skal gives sammen med eller som henvisning på fakturaen på en klar og letforståelig måde:</w:t>
                      </w:r>
                    </w:p>
                    <w:p w14:paraId="57D2F2E1" w14:textId="77777777" w:rsidR="00125198" w:rsidRPr="00315619" w:rsidRDefault="00125198" w:rsidP="00125198">
                      <w:pPr>
                        <w:jc w:val="both"/>
                        <w:rPr>
                          <w:i/>
                          <w:color w:val="FFFFFF" w:themeColor="background1"/>
                        </w:rPr>
                      </w:pPr>
                      <w:r w:rsidRPr="00315619">
                        <w:rPr>
                          <w:i/>
                          <w:color w:val="FFFFFF" w:themeColor="background1"/>
                        </w:rPr>
                        <w:t>(…)</w:t>
                      </w:r>
                    </w:p>
                    <w:p w14:paraId="52BC92A8" w14:textId="77777777" w:rsidR="00125198" w:rsidRPr="00315619" w:rsidRDefault="00125198" w:rsidP="00125198">
                      <w:pPr>
                        <w:jc w:val="both"/>
                        <w:rPr>
                          <w:b/>
                          <w:i/>
                          <w:color w:val="FFFFFF" w:themeColor="background1"/>
                        </w:rPr>
                      </w:pPr>
                      <w:r w:rsidRPr="00315619">
                        <w:rPr>
                          <w:b/>
                          <w:i/>
                          <w:color w:val="FFFFFF" w:themeColor="background1"/>
                        </w:rPr>
                        <w:t>4) En sammenligning med en referenceslutkunde i samme brugerkategori.</w:t>
                      </w:r>
                    </w:p>
                    <w:p w14:paraId="2753069B" w14:textId="77777777" w:rsidR="00125198" w:rsidRPr="00C4237B" w:rsidRDefault="00125198" w:rsidP="00125198">
                      <w:pPr>
                        <w:jc w:val="both"/>
                        <w:rPr>
                          <w:color w:val="FFFFFF" w:themeColor="background1"/>
                        </w:rPr>
                      </w:pPr>
                    </w:p>
                  </w:txbxContent>
                </v:textbox>
                <w10:wrap type="topAndBottom"/>
              </v:shape>
            </w:pict>
          </mc:Fallback>
        </mc:AlternateContent>
      </w:r>
    </w:p>
    <w:p w14:paraId="1D816925" w14:textId="77777777" w:rsidR="00125198" w:rsidRDefault="00125198" w:rsidP="00125198">
      <w:pPr>
        <w:spacing w:line="360" w:lineRule="auto"/>
        <w:rPr>
          <w:b/>
        </w:rPr>
      </w:pPr>
    </w:p>
    <w:p w14:paraId="08AB72C2" w14:textId="77777777" w:rsidR="00125198" w:rsidRPr="00FD0EEA" w:rsidRDefault="00125198" w:rsidP="00125198">
      <w:pPr>
        <w:spacing w:line="360" w:lineRule="auto"/>
        <w:rPr>
          <w:b/>
        </w:rPr>
      </w:pPr>
      <w:r w:rsidRPr="00FD0EEA">
        <w:rPr>
          <w:b/>
        </w:rPr>
        <w:t>Baggrund</w:t>
      </w:r>
    </w:p>
    <w:p w14:paraId="345E2670" w14:textId="77777777" w:rsidR="00125198" w:rsidRDefault="00125198" w:rsidP="00125198">
      <w:pPr>
        <w:spacing w:line="360" w:lineRule="auto"/>
      </w:pPr>
      <w:r>
        <w:t>Energistyrelsen har i høringsnotatet til energioplysningsbekendgørelsen angivet, at der kommer en vejledning om anvendelsen af sparenergi.dk i efterlevelsen af § 3, stk. 3, nr. 4.</w:t>
      </w:r>
      <w:r>
        <w:rPr>
          <w:rStyle w:val="Fodnotehenvisning"/>
        </w:rPr>
        <w:footnoteReference w:id="2"/>
      </w:r>
    </w:p>
    <w:p w14:paraId="1AF565BD" w14:textId="77777777" w:rsidR="00125198" w:rsidRDefault="00125198" w:rsidP="00125198">
      <w:pPr>
        <w:spacing w:line="360" w:lineRule="auto"/>
      </w:pPr>
    </w:p>
    <w:p w14:paraId="534CCF56" w14:textId="77777777" w:rsidR="00125198" w:rsidRPr="00FD0EEA" w:rsidRDefault="00125198" w:rsidP="00125198">
      <w:pPr>
        <w:spacing w:line="360" w:lineRule="auto"/>
        <w:rPr>
          <w:b/>
        </w:rPr>
      </w:pPr>
      <w:r>
        <w:rPr>
          <w:b/>
        </w:rPr>
        <w:t>Om Sparenergi</w:t>
      </w:r>
    </w:p>
    <w:p w14:paraId="44BB019D" w14:textId="70CE7D91" w:rsidR="00125198" w:rsidRDefault="00125198" w:rsidP="00125198">
      <w:pPr>
        <w:spacing w:line="360" w:lineRule="auto"/>
      </w:pPr>
      <w:r>
        <w:t>Energistyrelsen driver sparenergi.dk som led i implementeringen af energieffektiviseringsdirektivet. Hjemmesiden indeholder vejledning i energirigtige løsninger for både private</w:t>
      </w:r>
      <w:r w:rsidR="00C66BEC">
        <w:t xml:space="preserve"> husholdningskunder </w:t>
      </w:r>
      <w:r>
        <w:t xml:space="preserve">og </w:t>
      </w:r>
      <w:r w:rsidR="00C66BEC">
        <w:t xml:space="preserve">for </w:t>
      </w:r>
      <w:r>
        <w:t xml:space="preserve">erhvervskunder. En sammenligning kan lede til overvejelser om </w:t>
      </w:r>
      <w:r w:rsidR="00C66BEC">
        <w:t xml:space="preserve">at gennemføre </w:t>
      </w:r>
      <w:r>
        <w:t>energibesparelse</w:t>
      </w:r>
      <w:r w:rsidR="00C66BEC">
        <w:t>r</w:t>
      </w:r>
      <w:r w:rsidR="00413DF7">
        <w:t>,</w:t>
      </w:r>
      <w:r>
        <w:t xml:space="preserve"> og derfor anses en henvisning til Sparenergi.dk som et middel til at få flere kunder til at vælge energirigtige løsninger. </w:t>
      </w:r>
    </w:p>
    <w:p w14:paraId="5539C90A" w14:textId="77777777" w:rsidR="00125198" w:rsidRDefault="00125198" w:rsidP="00125198"/>
    <w:p w14:paraId="24E258C7" w14:textId="77777777" w:rsidR="00125198" w:rsidRDefault="00125198" w:rsidP="00125198">
      <w:pPr>
        <w:spacing w:line="360" w:lineRule="auto"/>
        <w:rPr>
          <w:b/>
        </w:rPr>
      </w:pPr>
      <w:r w:rsidRPr="004C33EF">
        <w:rPr>
          <w:b/>
        </w:rPr>
        <w:t>Vejledning</w:t>
      </w:r>
    </w:p>
    <w:p w14:paraId="1A74A376" w14:textId="39E3223E" w:rsidR="00125198" w:rsidRDefault="00125198" w:rsidP="00125198">
      <w:pPr>
        <w:spacing w:line="360" w:lineRule="auto"/>
      </w:pPr>
      <w:r w:rsidRPr="0078740C">
        <w:t>En sammenligning til en reference</w:t>
      </w:r>
      <w:r w:rsidR="00C66BEC">
        <w:t>slut</w:t>
      </w:r>
      <w:r w:rsidRPr="0078740C">
        <w:t xml:space="preserve">kunde i samme </w:t>
      </w:r>
      <w:r>
        <w:t>brugerkategori skal som minimum</w:t>
      </w:r>
      <w:r w:rsidRPr="0078740C">
        <w:t xml:space="preserve"> efterleves </w:t>
      </w:r>
      <w:r>
        <w:t>ved</w:t>
      </w:r>
      <w:r w:rsidR="00C66BEC">
        <w:t>,</w:t>
      </w:r>
      <w:r>
        <w:t xml:space="preserve"> </w:t>
      </w:r>
      <w:r w:rsidRPr="0078740C">
        <w:t xml:space="preserve">at </w:t>
      </w:r>
      <w:r>
        <w:t xml:space="preserve">elhandelsvirksomheden </w:t>
      </w:r>
      <w:r w:rsidRPr="0078740C">
        <w:t>henvise</w:t>
      </w:r>
      <w:r>
        <w:t>r</w:t>
      </w:r>
      <w:r w:rsidRPr="0078740C">
        <w:t xml:space="preserve"> til sparenergi.d</w:t>
      </w:r>
      <w:r>
        <w:t>k på slutkundens faktura.</w:t>
      </w:r>
    </w:p>
    <w:p w14:paraId="07AF9F31" w14:textId="77777777" w:rsidR="00125198" w:rsidRDefault="00125198" w:rsidP="00125198">
      <w:pPr>
        <w:spacing w:line="360" w:lineRule="auto"/>
      </w:pPr>
    </w:p>
    <w:p w14:paraId="777ACC8D" w14:textId="39EE3777" w:rsidR="00125198" w:rsidRDefault="00125198" w:rsidP="00125198">
      <w:pPr>
        <w:spacing w:line="360" w:lineRule="auto"/>
      </w:pPr>
      <w:r>
        <w:t xml:space="preserve">For private husholdningskunder anbefaler Energistyrelsen, at elhandelsvirksomheden henviser direkte til elforbrugsberegneren på Sparenergi. Elforbrugsberegneren forventes at gå live den 30. juni 2021 og har følgende URL: </w:t>
      </w:r>
      <w:r w:rsidR="006963DC" w:rsidRPr="006963DC">
        <w:t xml:space="preserve"> https://sparenergi.dk/elforbrugsberegner</w:t>
      </w:r>
    </w:p>
    <w:p w14:paraId="3D062E71" w14:textId="77777777" w:rsidR="00125198" w:rsidRDefault="00125198" w:rsidP="00125198">
      <w:pPr>
        <w:spacing w:line="360" w:lineRule="auto"/>
      </w:pPr>
    </w:p>
    <w:p w14:paraId="31306A36" w14:textId="310FB84E" w:rsidR="00125198" w:rsidRPr="0078740C" w:rsidRDefault="00125198" w:rsidP="00125198">
      <w:pPr>
        <w:spacing w:line="360" w:lineRule="auto"/>
      </w:pPr>
      <w:r>
        <w:t xml:space="preserve">For erhvervskunder, hvor elforbrugsberegneren ikke er relevant, anbefaler Energistyrelsen, at elhandelsvirksomheden henviser til erhvervsdelen på Sparenergi. Her findes en kortlægning af energiforbruget per branche samt gode råd og vejleding til at spare på strømmen. Følgende URL kan eksempelvis anvendes: </w:t>
      </w:r>
      <w:r w:rsidRPr="001463E8">
        <w:t>https://sparenergi.dk/erhverv</w:t>
      </w:r>
    </w:p>
    <w:p w14:paraId="29676632" w14:textId="77777777" w:rsidR="00125198" w:rsidRDefault="00125198" w:rsidP="00125198">
      <w:pPr>
        <w:spacing w:line="360" w:lineRule="auto"/>
      </w:pPr>
    </w:p>
    <w:p w14:paraId="7EC85810" w14:textId="03F677FD" w:rsidR="00125198" w:rsidRDefault="00125198" w:rsidP="00125198">
      <w:pPr>
        <w:spacing w:line="360" w:lineRule="auto"/>
      </w:pPr>
      <w:r>
        <w:t>Kravet kan også efterleves ved, at elhandelsvirksomheden giver sammenligningen sammen med fakturaen eller på elhandelsvirksomhedens egen hjemmeside. Hvis dette er ønsket, så kan dataene for elforbrugsberegneren tilgås gennem en API (Application Programming Interface). For vejledning i adgang til de bagvedliggende data, så skal der rettes henvendelse til Annika Laybourn</w:t>
      </w:r>
      <w:r w:rsidR="00896E51">
        <w:t xml:space="preserve"> på</w:t>
      </w:r>
      <w:r>
        <w:t xml:space="preserve"> </w:t>
      </w:r>
      <w:hyperlink r:id="rId7" w:history="1">
        <w:r w:rsidRPr="004D70CB">
          <w:t>al@viegandmaagoe.dk</w:t>
        </w:r>
      </w:hyperlink>
      <w:r>
        <w:t xml:space="preserve"> </w:t>
      </w:r>
      <w:r w:rsidR="00896E51">
        <w:t>eller kontakt@sparenergi.dk</w:t>
      </w:r>
      <w:r>
        <w:t>.</w:t>
      </w:r>
    </w:p>
    <w:p w14:paraId="66E75E16" w14:textId="77777777" w:rsidR="00125198" w:rsidRPr="00347BCC" w:rsidRDefault="00125198" w:rsidP="00125198">
      <w:pPr>
        <w:spacing w:line="360" w:lineRule="auto"/>
        <w:rPr>
          <w:b/>
        </w:rPr>
      </w:pPr>
    </w:p>
    <w:p w14:paraId="551170FF" w14:textId="77777777" w:rsidR="00125198" w:rsidRDefault="00125198" w:rsidP="00125198">
      <w:pPr>
        <w:spacing w:line="360" w:lineRule="auto"/>
        <w:rPr>
          <w:b/>
        </w:rPr>
      </w:pPr>
      <w:r w:rsidRPr="00FD0EEA">
        <w:rPr>
          <w:b/>
        </w:rPr>
        <w:t>Øvrige oplysninger</w:t>
      </w:r>
    </w:p>
    <w:p w14:paraId="1928BBE8" w14:textId="77777777" w:rsidR="00125198" w:rsidRDefault="00125198" w:rsidP="00125198">
      <w:pPr>
        <w:spacing w:line="360" w:lineRule="auto"/>
      </w:pPr>
      <w:r>
        <w:t xml:space="preserve">Eventuelle spørgsmål til vejledningen kan rettes til: Fuldmægtig Peter Sølvsten, prsn@ens.dk, 33 92 77 92. </w:t>
      </w:r>
    </w:p>
    <w:p w14:paraId="4ABD81E1" w14:textId="77777777" w:rsidR="00125198" w:rsidRDefault="00125198" w:rsidP="00125198">
      <w:pPr>
        <w:spacing w:line="360" w:lineRule="auto"/>
      </w:pPr>
    </w:p>
    <w:p w14:paraId="632C8355" w14:textId="77777777" w:rsidR="00125198" w:rsidRDefault="00125198" w:rsidP="00125198">
      <w:pPr>
        <w:spacing w:line="360" w:lineRule="auto"/>
      </w:pPr>
      <w:r>
        <w:t>Med venlig hilsen</w:t>
      </w:r>
    </w:p>
    <w:p w14:paraId="3DB7319D" w14:textId="77777777" w:rsidR="00125198" w:rsidRDefault="00125198" w:rsidP="00125198">
      <w:pPr>
        <w:spacing w:line="360" w:lineRule="auto"/>
      </w:pPr>
    </w:p>
    <w:p w14:paraId="37F736CB" w14:textId="77777777" w:rsidR="00125198" w:rsidRDefault="00125198" w:rsidP="00125198">
      <w:pPr>
        <w:spacing w:line="360" w:lineRule="auto"/>
      </w:pPr>
      <w:r>
        <w:t>Peter Sølvsten</w:t>
      </w:r>
    </w:p>
    <w:p w14:paraId="0D1ADFB1" w14:textId="645EC8DF" w:rsidR="00A9284C" w:rsidRDefault="00A9284C" w:rsidP="00125198">
      <w:pPr>
        <w:spacing w:line="360" w:lineRule="auto"/>
      </w:pPr>
    </w:p>
    <w:sectPr w:rsidR="00A9284C" w:rsidSect="00EB7382">
      <w:headerReference w:type="default" r:id="rId8"/>
      <w:footerReference w:type="default" r:id="rId9"/>
      <w:headerReference w:type="first" r:id="rId10"/>
      <w:footerReference w:type="first" r:id="rId11"/>
      <w:pgSz w:w="11906" w:h="16838" w:code="9"/>
      <w:pgMar w:top="2767" w:right="3260"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C9BE9" w14:textId="77777777" w:rsidR="00B56379" w:rsidRDefault="00B56379" w:rsidP="008969C1">
      <w:pPr>
        <w:spacing w:line="240" w:lineRule="auto"/>
      </w:pPr>
      <w:r>
        <w:separator/>
      </w:r>
    </w:p>
  </w:endnote>
  <w:endnote w:type="continuationSeparator" w:id="0">
    <w:p w14:paraId="37B4921E" w14:textId="77777777" w:rsidR="00B56379" w:rsidRDefault="00B56379"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F5B75" w14:textId="641C57CE" w:rsidR="008969C1" w:rsidRPr="00DE15CF" w:rsidRDefault="008969C1">
    <w:pPr>
      <w:pStyle w:val="Sidefod"/>
    </w:pPr>
    <w:r w:rsidRPr="00DE15CF">
      <w:t xml:space="preserve">Side </w:t>
    </w:r>
    <w:r w:rsidRPr="00DE15CF">
      <w:fldChar w:fldCharType="begin"/>
    </w:r>
    <w:r w:rsidRPr="00DE15CF">
      <w:instrText xml:space="preserve"> PAGE </w:instrText>
    </w:r>
    <w:r w:rsidRPr="00DE15CF">
      <w:fldChar w:fldCharType="separate"/>
    </w:r>
    <w:r w:rsidR="006963DC">
      <w:rPr>
        <w:noProof/>
      </w:rPr>
      <w:t>2</w:t>
    </w:r>
    <w:r w:rsidRPr="00DE15CF">
      <w:fldChar w:fldCharType="end"/>
    </w:r>
    <w:r w:rsidRPr="00DE15CF">
      <w:t>/</w:t>
    </w:r>
    <w:r w:rsidR="00B56379">
      <w:fldChar w:fldCharType="begin"/>
    </w:r>
    <w:r w:rsidR="00B56379">
      <w:instrText xml:space="preserve"> NUMPAGES </w:instrText>
    </w:r>
    <w:r w:rsidR="00B56379">
      <w:fldChar w:fldCharType="separate"/>
    </w:r>
    <w:r w:rsidR="006963DC">
      <w:rPr>
        <w:noProof/>
      </w:rPr>
      <w:t>2</w:t>
    </w:r>
    <w:r w:rsidR="00B5637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0A605" w14:textId="576E3E59" w:rsidR="008969C1" w:rsidRPr="00DE15CF" w:rsidRDefault="00BA0FCB">
    <w:pPr>
      <w:pStyle w:val="Sidefod"/>
    </w:pPr>
    <w:r w:rsidRPr="00DE15CF">
      <w:rPr>
        <w:noProof/>
        <w:lang w:eastAsia="da-DK"/>
      </w:rPr>
      <mc:AlternateContent>
        <mc:Choice Requires="wps">
          <w:drawing>
            <wp:anchor distT="0" distB="0" distL="114300" distR="114300" simplePos="0" relativeHeight="251659264" behindDoc="0" locked="0" layoutInCell="1" allowOverlap="1" wp14:anchorId="43C64D51" wp14:editId="2990F751">
              <wp:simplePos x="0" y="0"/>
              <wp:positionH relativeFrom="page">
                <wp:posOffset>5618480</wp:posOffset>
              </wp:positionH>
              <wp:positionV relativeFrom="page">
                <wp:posOffset>8564880</wp:posOffset>
              </wp:positionV>
              <wp:extent cx="1747520" cy="1809115"/>
              <wp:effectExtent l="0" t="0" r="0" b="635"/>
              <wp:wrapNone/>
              <wp:docPr id="2" name="Tekstboks 2"/>
              <wp:cNvGraphicFramePr/>
              <a:graphic xmlns:a="http://schemas.openxmlformats.org/drawingml/2006/main">
                <a:graphicData uri="http://schemas.microsoft.com/office/word/2010/wordprocessingShape">
                  <wps:wsp>
                    <wps:cNvSpPr txBox="1"/>
                    <wps:spPr>
                      <a:xfrm>
                        <a:off x="0" y="0"/>
                        <a:ext cx="1747520" cy="1809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102288" w14:textId="77777777" w:rsidR="00DA7419" w:rsidRDefault="00F273E6" w:rsidP="003675A2">
                          <w:pPr>
                            <w:spacing w:line="192" w:lineRule="atLeast"/>
                            <w:rPr>
                              <w:b/>
                              <w:sz w:val="16"/>
                              <w:szCs w:val="16"/>
                            </w:rPr>
                          </w:pPr>
                          <w:r w:rsidRPr="00F273E6">
                            <w:rPr>
                              <w:b/>
                              <w:sz w:val="16"/>
                              <w:szCs w:val="16"/>
                            </w:rPr>
                            <w:t>Energistyrelsen</w:t>
                          </w:r>
                        </w:p>
                        <w:p w14:paraId="7C09B6CF" w14:textId="77777777" w:rsidR="00AB4885" w:rsidRPr="00AB4885" w:rsidRDefault="00AB4885" w:rsidP="00F714AB">
                          <w:pPr>
                            <w:spacing w:line="192" w:lineRule="atLeast"/>
                            <w:rPr>
                              <w:sz w:val="16"/>
                              <w:szCs w:val="16"/>
                            </w:rPr>
                          </w:pPr>
                        </w:p>
                        <w:p w14:paraId="1BB729B3" w14:textId="77777777" w:rsidR="00F273E6" w:rsidRPr="00F273E6" w:rsidRDefault="004F236E" w:rsidP="00F273E6">
                          <w:pPr>
                            <w:spacing w:line="192" w:lineRule="atLeast"/>
                            <w:rPr>
                              <w:sz w:val="16"/>
                              <w:szCs w:val="16"/>
                            </w:rPr>
                          </w:pPr>
                          <w:r>
                            <w:rPr>
                              <w:sz w:val="16"/>
                              <w:szCs w:val="16"/>
                            </w:rPr>
                            <w:t>Carsten Niebuhrs Gade 43</w:t>
                          </w:r>
                        </w:p>
                        <w:p w14:paraId="5CC76D4D" w14:textId="77777777" w:rsidR="00DA7419" w:rsidRDefault="004F236E" w:rsidP="00F273E6">
                          <w:pPr>
                            <w:spacing w:line="192" w:lineRule="atLeast"/>
                            <w:rPr>
                              <w:sz w:val="16"/>
                              <w:szCs w:val="16"/>
                            </w:rPr>
                          </w:pPr>
                          <w:r>
                            <w:rPr>
                              <w:sz w:val="16"/>
                              <w:szCs w:val="16"/>
                            </w:rPr>
                            <w:t>1577 København V</w:t>
                          </w:r>
                        </w:p>
                        <w:p w14:paraId="69B9026E" w14:textId="77777777" w:rsidR="00E33625" w:rsidRDefault="00E33625" w:rsidP="00F273E6">
                          <w:pPr>
                            <w:spacing w:line="192" w:lineRule="atLeast"/>
                            <w:rPr>
                              <w:sz w:val="16"/>
                              <w:szCs w:val="16"/>
                            </w:rPr>
                          </w:pPr>
                        </w:p>
                        <w:p w14:paraId="799F1F88" w14:textId="77777777" w:rsidR="00E33625" w:rsidRPr="00896E51" w:rsidRDefault="00E33625" w:rsidP="00F273E6">
                          <w:pPr>
                            <w:spacing w:line="192" w:lineRule="atLeast"/>
                            <w:rPr>
                              <w:sz w:val="16"/>
                              <w:szCs w:val="16"/>
                              <w:lang w:val="de-DE"/>
                            </w:rPr>
                          </w:pPr>
                          <w:r w:rsidRPr="00896E51">
                            <w:rPr>
                              <w:sz w:val="16"/>
                              <w:szCs w:val="16"/>
                              <w:lang w:val="de-DE"/>
                            </w:rPr>
                            <w:t>Niels Bohrs Vej 8</w:t>
                          </w:r>
                        </w:p>
                        <w:p w14:paraId="6889A1FC" w14:textId="77777777" w:rsidR="00E33625" w:rsidRPr="00896E51" w:rsidRDefault="00E33625" w:rsidP="00F273E6">
                          <w:pPr>
                            <w:spacing w:line="192" w:lineRule="atLeast"/>
                            <w:rPr>
                              <w:sz w:val="16"/>
                              <w:szCs w:val="16"/>
                              <w:lang w:val="de-DE"/>
                            </w:rPr>
                          </w:pPr>
                          <w:r w:rsidRPr="00896E51">
                            <w:rPr>
                              <w:sz w:val="16"/>
                              <w:szCs w:val="16"/>
                              <w:lang w:val="de-DE"/>
                            </w:rPr>
                            <w:t>6700 Esbjerg</w:t>
                          </w:r>
                        </w:p>
                        <w:p w14:paraId="03182AE0" w14:textId="77777777" w:rsidR="00AB4885" w:rsidRPr="00896E51" w:rsidRDefault="00AB4885" w:rsidP="00F714AB">
                          <w:pPr>
                            <w:spacing w:line="192" w:lineRule="atLeast"/>
                            <w:rPr>
                              <w:sz w:val="16"/>
                              <w:szCs w:val="16"/>
                              <w:lang w:val="de-DE"/>
                            </w:rPr>
                          </w:pPr>
                        </w:p>
                        <w:p w14:paraId="51317D2F" w14:textId="77777777" w:rsidR="00F273E6" w:rsidRPr="00896E51" w:rsidRDefault="00F273E6" w:rsidP="00F273E6">
                          <w:pPr>
                            <w:spacing w:line="192" w:lineRule="atLeast"/>
                            <w:rPr>
                              <w:sz w:val="16"/>
                              <w:szCs w:val="16"/>
                              <w:lang w:val="de-DE"/>
                            </w:rPr>
                          </w:pPr>
                          <w:r w:rsidRPr="00896E51">
                            <w:rPr>
                              <w:sz w:val="16"/>
                              <w:szCs w:val="16"/>
                              <w:lang w:val="de-DE"/>
                            </w:rPr>
                            <w:t>T: +45 3392 6700</w:t>
                          </w:r>
                        </w:p>
                        <w:p w14:paraId="729C5B8D" w14:textId="77777777" w:rsidR="00DA7419" w:rsidRPr="00896E51" w:rsidRDefault="00F273E6" w:rsidP="00F273E6">
                          <w:pPr>
                            <w:spacing w:line="192" w:lineRule="atLeast"/>
                            <w:rPr>
                              <w:sz w:val="16"/>
                              <w:szCs w:val="16"/>
                              <w:lang w:val="de-DE"/>
                            </w:rPr>
                          </w:pPr>
                          <w:r w:rsidRPr="00896E51">
                            <w:rPr>
                              <w:sz w:val="16"/>
                              <w:szCs w:val="16"/>
                              <w:lang w:val="de-DE"/>
                            </w:rPr>
                            <w:t>E: ens@ens.dk</w:t>
                          </w:r>
                        </w:p>
                        <w:p w14:paraId="73711B24" w14:textId="77777777" w:rsidR="00AB4885" w:rsidRPr="00896E51" w:rsidRDefault="00AB4885" w:rsidP="00F714AB">
                          <w:pPr>
                            <w:spacing w:line="192" w:lineRule="atLeast"/>
                            <w:rPr>
                              <w:sz w:val="16"/>
                              <w:szCs w:val="16"/>
                              <w:lang w:val="de-DE"/>
                            </w:rPr>
                          </w:pPr>
                        </w:p>
                        <w:p w14:paraId="552B3C12" w14:textId="77777777" w:rsidR="00DA7419" w:rsidRPr="00896E51" w:rsidRDefault="003466EA" w:rsidP="00F714AB">
                          <w:pPr>
                            <w:spacing w:line="192" w:lineRule="atLeast"/>
                            <w:rPr>
                              <w:sz w:val="16"/>
                              <w:szCs w:val="16"/>
                              <w:lang w:val="de-DE"/>
                            </w:rPr>
                          </w:pPr>
                          <w:r w:rsidRPr="00896E51">
                            <w:rPr>
                              <w:sz w:val="16"/>
                              <w:szCs w:val="16"/>
                              <w:lang w:val="de-DE"/>
                            </w:rPr>
                            <w:t>www.</w:t>
                          </w:r>
                          <w:r w:rsidR="00F273E6" w:rsidRPr="00896E51">
                            <w:rPr>
                              <w:sz w:val="16"/>
                              <w:szCs w:val="16"/>
                              <w:lang w:val="de-DE"/>
                            </w:rPr>
                            <w:t>ens</w:t>
                          </w:r>
                          <w:r w:rsidR="003675A2" w:rsidRPr="00896E51">
                            <w:rPr>
                              <w:sz w:val="16"/>
                              <w:szCs w:val="16"/>
                              <w:lang w:val="de-DE"/>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64D51" id="_x0000_t202" coordsize="21600,21600" o:spt="202" path="m,l,21600r21600,l21600,xe">
              <v:stroke joinstyle="miter"/>
              <v:path gradientshapeok="t" o:connecttype="rect"/>
            </v:shapetype>
            <v:shape id="Tekstboks 2" o:spid="_x0000_s1027" type="#_x0000_t202" style="position:absolute;margin-left:442.4pt;margin-top:674.4pt;width:137.6pt;height:14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" filled="f" stroked="f" strokeweight=".5pt">
              <v:textbox>
                <w:txbxContent>
                  <w:p w14:paraId="6E102288" w14:textId="77777777" w:rsidR="00DA7419" w:rsidRDefault="00F273E6" w:rsidP="003675A2">
                    <w:pPr>
                      <w:spacing w:line="192" w:lineRule="atLeast"/>
                      <w:rPr>
                        <w:b/>
                        <w:sz w:val="16"/>
                        <w:szCs w:val="16"/>
                      </w:rPr>
                    </w:pPr>
                    <w:r w:rsidRPr="00F273E6">
                      <w:rPr>
                        <w:b/>
                        <w:sz w:val="16"/>
                        <w:szCs w:val="16"/>
                      </w:rPr>
                      <w:t>Energistyrelsen</w:t>
                    </w:r>
                  </w:p>
                  <w:p w14:paraId="7C09B6CF" w14:textId="77777777" w:rsidR="00AB4885" w:rsidRPr="00AB4885" w:rsidRDefault="00AB4885" w:rsidP="00F714AB">
                    <w:pPr>
                      <w:spacing w:line="192" w:lineRule="atLeast"/>
                      <w:rPr>
                        <w:sz w:val="16"/>
                        <w:szCs w:val="16"/>
                      </w:rPr>
                    </w:pPr>
                  </w:p>
                  <w:p w14:paraId="1BB729B3" w14:textId="77777777" w:rsidR="00F273E6" w:rsidRPr="00F273E6" w:rsidRDefault="004F236E" w:rsidP="00F273E6">
                    <w:pPr>
                      <w:spacing w:line="192" w:lineRule="atLeast"/>
                      <w:rPr>
                        <w:sz w:val="16"/>
                        <w:szCs w:val="16"/>
                      </w:rPr>
                    </w:pPr>
                    <w:r>
                      <w:rPr>
                        <w:sz w:val="16"/>
                        <w:szCs w:val="16"/>
                      </w:rPr>
                      <w:t>Carsten Niebuhrs Gade 43</w:t>
                    </w:r>
                  </w:p>
                  <w:p w14:paraId="5CC76D4D" w14:textId="77777777" w:rsidR="00DA7419" w:rsidRDefault="004F236E" w:rsidP="00F273E6">
                    <w:pPr>
                      <w:spacing w:line="192" w:lineRule="atLeast"/>
                      <w:rPr>
                        <w:sz w:val="16"/>
                        <w:szCs w:val="16"/>
                      </w:rPr>
                    </w:pPr>
                    <w:r>
                      <w:rPr>
                        <w:sz w:val="16"/>
                        <w:szCs w:val="16"/>
                      </w:rPr>
                      <w:t>1577 København V</w:t>
                    </w:r>
                  </w:p>
                  <w:p w14:paraId="69B9026E" w14:textId="77777777" w:rsidR="00E33625" w:rsidRDefault="00E33625" w:rsidP="00F273E6">
                    <w:pPr>
                      <w:spacing w:line="192" w:lineRule="atLeast"/>
                      <w:rPr>
                        <w:sz w:val="16"/>
                        <w:szCs w:val="16"/>
                      </w:rPr>
                    </w:pPr>
                  </w:p>
                  <w:p w14:paraId="799F1F88" w14:textId="77777777" w:rsidR="00E33625" w:rsidRPr="00896E51" w:rsidRDefault="00E33625" w:rsidP="00F273E6">
                    <w:pPr>
                      <w:spacing w:line="192" w:lineRule="atLeast"/>
                      <w:rPr>
                        <w:sz w:val="16"/>
                        <w:szCs w:val="16"/>
                        <w:lang w:val="de-DE"/>
                      </w:rPr>
                    </w:pPr>
                    <w:r w:rsidRPr="00896E51">
                      <w:rPr>
                        <w:sz w:val="16"/>
                        <w:szCs w:val="16"/>
                        <w:lang w:val="de-DE"/>
                      </w:rPr>
                      <w:t>Niels Bohrs Vej 8</w:t>
                    </w:r>
                  </w:p>
                  <w:p w14:paraId="6889A1FC" w14:textId="77777777" w:rsidR="00E33625" w:rsidRPr="00896E51" w:rsidRDefault="00E33625" w:rsidP="00F273E6">
                    <w:pPr>
                      <w:spacing w:line="192" w:lineRule="atLeast"/>
                      <w:rPr>
                        <w:sz w:val="16"/>
                        <w:szCs w:val="16"/>
                        <w:lang w:val="de-DE"/>
                      </w:rPr>
                    </w:pPr>
                    <w:r w:rsidRPr="00896E51">
                      <w:rPr>
                        <w:sz w:val="16"/>
                        <w:szCs w:val="16"/>
                        <w:lang w:val="de-DE"/>
                      </w:rPr>
                      <w:t>6700 Esbjerg</w:t>
                    </w:r>
                  </w:p>
                  <w:p w14:paraId="03182AE0" w14:textId="77777777" w:rsidR="00AB4885" w:rsidRPr="00896E51" w:rsidRDefault="00AB4885" w:rsidP="00F714AB">
                    <w:pPr>
                      <w:spacing w:line="192" w:lineRule="atLeast"/>
                      <w:rPr>
                        <w:sz w:val="16"/>
                        <w:szCs w:val="16"/>
                        <w:lang w:val="de-DE"/>
                      </w:rPr>
                    </w:pPr>
                  </w:p>
                  <w:p w14:paraId="51317D2F" w14:textId="77777777" w:rsidR="00F273E6" w:rsidRPr="00896E51" w:rsidRDefault="00F273E6" w:rsidP="00F273E6">
                    <w:pPr>
                      <w:spacing w:line="192" w:lineRule="atLeast"/>
                      <w:rPr>
                        <w:sz w:val="16"/>
                        <w:szCs w:val="16"/>
                        <w:lang w:val="de-DE"/>
                      </w:rPr>
                    </w:pPr>
                    <w:r w:rsidRPr="00896E51">
                      <w:rPr>
                        <w:sz w:val="16"/>
                        <w:szCs w:val="16"/>
                        <w:lang w:val="de-DE"/>
                      </w:rPr>
                      <w:t>T: +45 3392 6700</w:t>
                    </w:r>
                  </w:p>
                  <w:p w14:paraId="729C5B8D" w14:textId="77777777" w:rsidR="00DA7419" w:rsidRPr="00896E51" w:rsidRDefault="00F273E6" w:rsidP="00F273E6">
                    <w:pPr>
                      <w:spacing w:line="192" w:lineRule="atLeast"/>
                      <w:rPr>
                        <w:sz w:val="16"/>
                        <w:szCs w:val="16"/>
                        <w:lang w:val="de-DE"/>
                      </w:rPr>
                    </w:pPr>
                    <w:r w:rsidRPr="00896E51">
                      <w:rPr>
                        <w:sz w:val="16"/>
                        <w:szCs w:val="16"/>
                        <w:lang w:val="de-DE"/>
                      </w:rPr>
                      <w:t>E: ens@ens.dk</w:t>
                    </w:r>
                  </w:p>
                  <w:p w14:paraId="73711B24" w14:textId="77777777" w:rsidR="00AB4885" w:rsidRPr="00896E51" w:rsidRDefault="00AB4885" w:rsidP="00F714AB">
                    <w:pPr>
                      <w:spacing w:line="192" w:lineRule="atLeast"/>
                      <w:rPr>
                        <w:sz w:val="16"/>
                        <w:szCs w:val="16"/>
                        <w:lang w:val="de-DE"/>
                      </w:rPr>
                    </w:pPr>
                  </w:p>
                  <w:p w14:paraId="552B3C12" w14:textId="77777777" w:rsidR="00DA7419" w:rsidRPr="00896E51" w:rsidRDefault="003466EA" w:rsidP="00F714AB">
                    <w:pPr>
                      <w:spacing w:line="192" w:lineRule="atLeast"/>
                      <w:rPr>
                        <w:sz w:val="16"/>
                        <w:szCs w:val="16"/>
                        <w:lang w:val="de-DE"/>
                      </w:rPr>
                    </w:pPr>
                    <w:r w:rsidRPr="00896E51">
                      <w:rPr>
                        <w:sz w:val="16"/>
                        <w:szCs w:val="16"/>
                        <w:lang w:val="de-DE"/>
                      </w:rPr>
                      <w:t>www.</w:t>
                    </w:r>
                    <w:r w:rsidR="00F273E6" w:rsidRPr="00896E51">
                      <w:rPr>
                        <w:sz w:val="16"/>
                        <w:szCs w:val="16"/>
                        <w:lang w:val="de-DE"/>
                      </w:rPr>
                      <w:t>ens</w:t>
                    </w:r>
                    <w:r w:rsidR="003675A2" w:rsidRPr="00896E51">
                      <w:rPr>
                        <w:sz w:val="16"/>
                        <w:szCs w:val="16"/>
                        <w:lang w:val="de-DE"/>
                      </w:rPr>
                      <w:t>.dk</w:t>
                    </w:r>
                  </w:p>
                </w:txbxContent>
              </v:textbox>
              <w10:wrap anchorx="page" anchory="page"/>
            </v:shape>
          </w:pict>
        </mc:Fallback>
      </mc:AlternateContent>
    </w:r>
    <w:r w:rsidR="008969C1" w:rsidRPr="00DE15CF">
      <w:t xml:space="preserve">Side </w:t>
    </w:r>
    <w:r w:rsidR="008969C1" w:rsidRPr="00DE15CF">
      <w:fldChar w:fldCharType="begin"/>
    </w:r>
    <w:r w:rsidR="008969C1" w:rsidRPr="00DE15CF">
      <w:instrText xml:space="preserve"> PAGE </w:instrText>
    </w:r>
    <w:r w:rsidR="008969C1" w:rsidRPr="00DE15CF">
      <w:fldChar w:fldCharType="separate"/>
    </w:r>
    <w:r w:rsidR="006963DC">
      <w:rPr>
        <w:noProof/>
      </w:rPr>
      <w:t>1</w:t>
    </w:r>
    <w:r w:rsidR="008969C1" w:rsidRPr="00DE15CF">
      <w:fldChar w:fldCharType="end"/>
    </w:r>
    <w:r w:rsidR="008969C1" w:rsidRPr="00DE15CF">
      <w:t>/</w:t>
    </w:r>
    <w:r w:rsidR="00B56379">
      <w:fldChar w:fldCharType="begin"/>
    </w:r>
    <w:r w:rsidR="00B56379">
      <w:instrText xml:space="preserve"> NUMPAGES </w:instrText>
    </w:r>
    <w:r w:rsidR="00B56379">
      <w:fldChar w:fldCharType="separate"/>
    </w:r>
    <w:r w:rsidR="006963DC">
      <w:rPr>
        <w:noProof/>
      </w:rPr>
      <w:t>2</w:t>
    </w:r>
    <w:r w:rsidR="00B563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FCA51" w14:textId="77777777" w:rsidR="00B56379" w:rsidRDefault="00B56379" w:rsidP="008969C1">
      <w:pPr>
        <w:spacing w:line="240" w:lineRule="auto"/>
      </w:pPr>
      <w:r>
        <w:separator/>
      </w:r>
    </w:p>
  </w:footnote>
  <w:footnote w:type="continuationSeparator" w:id="0">
    <w:p w14:paraId="10834424" w14:textId="77777777" w:rsidR="00B56379" w:rsidRDefault="00B56379" w:rsidP="008969C1">
      <w:pPr>
        <w:spacing w:line="240" w:lineRule="auto"/>
      </w:pPr>
      <w:r>
        <w:continuationSeparator/>
      </w:r>
    </w:p>
  </w:footnote>
  <w:footnote w:id="1">
    <w:p w14:paraId="61F1691A" w14:textId="77777777" w:rsidR="00125198" w:rsidRDefault="00125198" w:rsidP="00125198">
      <w:pPr>
        <w:pStyle w:val="Fodnotetekst"/>
      </w:pPr>
      <w:r>
        <w:rPr>
          <w:rStyle w:val="Fodnotehenvisning"/>
        </w:rPr>
        <w:footnoteRef/>
      </w:r>
      <w:r>
        <w:t xml:space="preserve"> BEK nr. 2251 af 29. december 2020</w:t>
      </w:r>
    </w:p>
  </w:footnote>
  <w:footnote w:id="2">
    <w:p w14:paraId="0559FF7D" w14:textId="77777777" w:rsidR="00125198" w:rsidRDefault="00125198" w:rsidP="00125198">
      <w:pPr>
        <w:pStyle w:val="Fodnotetekst"/>
      </w:pPr>
      <w:r>
        <w:rPr>
          <w:rStyle w:val="Fodnotehenvisning"/>
        </w:rPr>
        <w:footnoteRef/>
      </w:r>
      <w:r>
        <w:t xml:space="preserve"> Høringsnotatet om elleveringsbekendtgørelse og energioplysningsbekendtgørelse af 7. december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2CB21" w14:textId="77777777" w:rsidR="008969C1" w:rsidRDefault="00815500">
    <w:pPr>
      <w:pStyle w:val="Sidehoved"/>
    </w:pPr>
    <w:r>
      <w:rPr>
        <w:noProof/>
        <w:lang w:eastAsia="da-DK"/>
      </w:rPr>
      <w:drawing>
        <wp:anchor distT="0" distB="0" distL="114300" distR="114300" simplePos="0" relativeHeight="251673600" behindDoc="0" locked="0" layoutInCell="1" allowOverlap="1" wp14:anchorId="6D6914F8" wp14:editId="73564D40">
          <wp:simplePos x="0" y="0"/>
          <wp:positionH relativeFrom="page">
            <wp:posOffset>4842510</wp:posOffset>
          </wp:positionH>
          <wp:positionV relativeFrom="page">
            <wp:posOffset>396240</wp:posOffset>
          </wp:positionV>
          <wp:extent cx="2059200" cy="698400"/>
          <wp:effectExtent l="0" t="0" r="0" b="6985"/>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59200" cy="69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35FA4" w14:textId="77777777" w:rsidR="008969C1" w:rsidRDefault="00420961">
    <w:pPr>
      <w:pStyle w:val="Sidehoved"/>
    </w:pPr>
    <w:r>
      <w:rPr>
        <w:noProof/>
        <w:lang w:eastAsia="da-DK"/>
      </w:rPr>
      <w:drawing>
        <wp:anchor distT="0" distB="0" distL="114300" distR="114300" simplePos="0" relativeHeight="251674624" behindDoc="0" locked="0" layoutInCell="1" allowOverlap="1" wp14:anchorId="50DE8477" wp14:editId="038C9895">
          <wp:simplePos x="0" y="0"/>
          <wp:positionH relativeFrom="margin">
            <wp:posOffset>4298280</wp:posOffset>
          </wp:positionH>
          <wp:positionV relativeFrom="page">
            <wp:posOffset>447675</wp:posOffset>
          </wp:positionV>
          <wp:extent cx="1908000" cy="716400"/>
          <wp:effectExtent l="0" t="0" r="0" b="762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K_uden_transparens.png"/>
                  <pic:cNvPicPr/>
                </pic:nvPicPr>
                <pic:blipFill>
                  <a:blip r:embed="rId1">
                    <a:extLst>
                      <a:ext uri="{28A0092B-C50C-407E-A947-70E740481C1C}">
                        <a14:useLocalDpi xmlns:a14="http://schemas.microsoft.com/office/drawing/2010/main" val="0"/>
                      </a:ext>
                    </a:extLst>
                  </a:blip>
                  <a:stretch>
                    <a:fillRect/>
                  </a:stretch>
                </pic:blipFill>
                <pic:spPr>
                  <a:xfrm>
                    <a:off x="0" y="0"/>
                    <a:ext cx="1908000" cy="71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61505"/>
    <w:multiLevelType w:val="hybridMultilevel"/>
    <w:tmpl w:val="194AAD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29C507E"/>
    <w:multiLevelType w:val="hybridMultilevel"/>
    <w:tmpl w:val="2708D4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3B958DE"/>
    <w:multiLevelType w:val="hybridMultilevel"/>
    <w:tmpl w:val="3B1AB9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41358E0"/>
    <w:multiLevelType w:val="hybridMultilevel"/>
    <w:tmpl w:val="E3FCEA04"/>
    <w:lvl w:ilvl="0" w:tplc="61127D14">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0B"/>
    <w:rsid w:val="00022817"/>
    <w:rsid w:val="000260EC"/>
    <w:rsid w:val="00036061"/>
    <w:rsid w:val="00065C74"/>
    <w:rsid w:val="00086163"/>
    <w:rsid w:val="00100AFC"/>
    <w:rsid w:val="00125198"/>
    <w:rsid w:val="00140C61"/>
    <w:rsid w:val="00164F2B"/>
    <w:rsid w:val="0018440B"/>
    <w:rsid w:val="001A48EE"/>
    <w:rsid w:val="00217088"/>
    <w:rsid w:val="0021711B"/>
    <w:rsid w:val="00221C63"/>
    <w:rsid w:val="002611C9"/>
    <w:rsid w:val="0027768F"/>
    <w:rsid w:val="002861AB"/>
    <w:rsid w:val="002D6994"/>
    <w:rsid w:val="0030285E"/>
    <w:rsid w:val="00315619"/>
    <w:rsid w:val="0034007A"/>
    <w:rsid w:val="003466EA"/>
    <w:rsid w:val="00347BCC"/>
    <w:rsid w:val="00352DBE"/>
    <w:rsid w:val="00364DDD"/>
    <w:rsid w:val="0036650F"/>
    <w:rsid w:val="00366BF5"/>
    <w:rsid w:val="00366EC9"/>
    <w:rsid w:val="003675A2"/>
    <w:rsid w:val="003B31EC"/>
    <w:rsid w:val="003B5DBB"/>
    <w:rsid w:val="003E30EF"/>
    <w:rsid w:val="00404A1B"/>
    <w:rsid w:val="00406DCF"/>
    <w:rsid w:val="004129C4"/>
    <w:rsid w:val="00413DF7"/>
    <w:rsid w:val="00420961"/>
    <w:rsid w:val="00465B7C"/>
    <w:rsid w:val="004704DA"/>
    <w:rsid w:val="004832D9"/>
    <w:rsid w:val="004C33EF"/>
    <w:rsid w:val="004D70CB"/>
    <w:rsid w:val="004D7609"/>
    <w:rsid w:val="004F024B"/>
    <w:rsid w:val="004F236E"/>
    <w:rsid w:val="00527652"/>
    <w:rsid w:val="005973DD"/>
    <w:rsid w:val="005B007C"/>
    <w:rsid w:val="005C3C64"/>
    <w:rsid w:val="006202F5"/>
    <w:rsid w:val="006803EB"/>
    <w:rsid w:val="006963DC"/>
    <w:rsid w:val="006B1888"/>
    <w:rsid w:val="006B23DE"/>
    <w:rsid w:val="006D6210"/>
    <w:rsid w:val="006E691D"/>
    <w:rsid w:val="0070259E"/>
    <w:rsid w:val="007469FD"/>
    <w:rsid w:val="00753BED"/>
    <w:rsid w:val="007636C2"/>
    <w:rsid w:val="007729B4"/>
    <w:rsid w:val="007D27EB"/>
    <w:rsid w:val="00800E2B"/>
    <w:rsid w:val="00802C9E"/>
    <w:rsid w:val="00815500"/>
    <w:rsid w:val="008176EC"/>
    <w:rsid w:val="008954C7"/>
    <w:rsid w:val="008969C1"/>
    <w:rsid w:val="00896E51"/>
    <w:rsid w:val="008B7030"/>
    <w:rsid w:val="008D4F09"/>
    <w:rsid w:val="008E0CEB"/>
    <w:rsid w:val="008F2666"/>
    <w:rsid w:val="008F5295"/>
    <w:rsid w:val="00923F35"/>
    <w:rsid w:val="00964682"/>
    <w:rsid w:val="009E71B6"/>
    <w:rsid w:val="009E7208"/>
    <w:rsid w:val="00A04870"/>
    <w:rsid w:val="00A46851"/>
    <w:rsid w:val="00A53C43"/>
    <w:rsid w:val="00A8505E"/>
    <w:rsid w:val="00A9284C"/>
    <w:rsid w:val="00A973C6"/>
    <w:rsid w:val="00AB4885"/>
    <w:rsid w:val="00AC60EA"/>
    <w:rsid w:val="00AC61DD"/>
    <w:rsid w:val="00AE6525"/>
    <w:rsid w:val="00B1566A"/>
    <w:rsid w:val="00B536E9"/>
    <w:rsid w:val="00B56379"/>
    <w:rsid w:val="00BA0FCB"/>
    <w:rsid w:val="00BD2772"/>
    <w:rsid w:val="00C4237B"/>
    <w:rsid w:val="00C63C0B"/>
    <w:rsid w:val="00C651CC"/>
    <w:rsid w:val="00C66BEC"/>
    <w:rsid w:val="00C8640D"/>
    <w:rsid w:val="00CB3A7C"/>
    <w:rsid w:val="00D03BCD"/>
    <w:rsid w:val="00D1257F"/>
    <w:rsid w:val="00D12E7B"/>
    <w:rsid w:val="00D21F5A"/>
    <w:rsid w:val="00D357CF"/>
    <w:rsid w:val="00D83097"/>
    <w:rsid w:val="00D93380"/>
    <w:rsid w:val="00DA7419"/>
    <w:rsid w:val="00DD1186"/>
    <w:rsid w:val="00DE15CF"/>
    <w:rsid w:val="00E323F5"/>
    <w:rsid w:val="00E33625"/>
    <w:rsid w:val="00E452E8"/>
    <w:rsid w:val="00EB7382"/>
    <w:rsid w:val="00ED066E"/>
    <w:rsid w:val="00F273E6"/>
    <w:rsid w:val="00F62229"/>
    <w:rsid w:val="00F714AB"/>
    <w:rsid w:val="00FD0E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5623A"/>
  <w15:docId w15:val="{831317F3-633E-4EC5-8ED7-49F5C8A2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C4"/>
    <w:pPr>
      <w:spacing w:after="0" w:line="280" w:lineRule="atLeast"/>
    </w:pPr>
    <w:rPr>
      <w:rFonts w:ascii="Arial" w:hAnsi="Arial"/>
      <w:sz w:val="20"/>
    </w:rPr>
  </w:style>
  <w:style w:type="paragraph" w:styleId="Overskrift1">
    <w:name w:val="heading 1"/>
    <w:basedOn w:val="Normal"/>
    <w:next w:val="Normal"/>
    <w:link w:val="Overskrift1Tegn"/>
    <w:uiPriority w:val="9"/>
    <w:qFormat/>
    <w:rsid w:val="00C4237B"/>
    <w:pPr>
      <w:keepNext/>
      <w:keepLines/>
      <w:spacing w:before="240"/>
      <w:outlineLvl w:val="0"/>
    </w:pPr>
    <w:rPr>
      <w:rFonts w:asciiTheme="majorHAnsi" w:eastAsiaTheme="majorEastAsia" w:hAnsiTheme="majorHAnsi" w:cstheme="majorBidi"/>
      <w:color w:val="00707D"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character" w:customStyle="1" w:styleId="Overskrift1Tegn">
    <w:name w:val="Overskrift 1 Tegn"/>
    <w:basedOn w:val="Standardskrifttypeiafsnit"/>
    <w:link w:val="Overskrift1"/>
    <w:uiPriority w:val="9"/>
    <w:rsid w:val="00C4237B"/>
    <w:rPr>
      <w:rFonts w:asciiTheme="majorHAnsi" w:eastAsiaTheme="majorEastAsia" w:hAnsiTheme="majorHAnsi" w:cstheme="majorBidi"/>
      <w:color w:val="00707D" w:themeColor="accent1" w:themeShade="BF"/>
      <w:sz w:val="32"/>
      <w:szCs w:val="32"/>
    </w:rPr>
  </w:style>
  <w:style w:type="character" w:customStyle="1" w:styleId="paragrafnr">
    <w:name w:val="paragrafnr"/>
    <w:basedOn w:val="Standardskrifttypeiafsnit"/>
    <w:rsid w:val="00C4237B"/>
  </w:style>
  <w:style w:type="character" w:customStyle="1" w:styleId="stknr">
    <w:name w:val="stknr"/>
    <w:basedOn w:val="Standardskrifttypeiafsnit"/>
    <w:rsid w:val="00C4237B"/>
  </w:style>
  <w:style w:type="character" w:customStyle="1" w:styleId="liste1nr">
    <w:name w:val="liste1nr"/>
    <w:basedOn w:val="Standardskrifttypeiafsnit"/>
    <w:rsid w:val="00C4237B"/>
  </w:style>
  <w:style w:type="paragraph" w:styleId="Listeafsnit">
    <w:name w:val="List Paragraph"/>
    <w:basedOn w:val="Normal"/>
    <w:uiPriority w:val="34"/>
    <w:qFormat/>
    <w:rsid w:val="00315619"/>
    <w:pPr>
      <w:ind w:left="720"/>
      <w:contextualSpacing/>
    </w:pPr>
  </w:style>
  <w:style w:type="character" w:styleId="Kommentarhenvisning">
    <w:name w:val="annotation reference"/>
    <w:basedOn w:val="Standardskrifttypeiafsnit"/>
    <w:uiPriority w:val="99"/>
    <w:semiHidden/>
    <w:unhideWhenUsed/>
    <w:rsid w:val="005973DD"/>
    <w:rPr>
      <w:sz w:val="16"/>
      <w:szCs w:val="16"/>
    </w:rPr>
  </w:style>
  <w:style w:type="paragraph" w:styleId="Kommentartekst">
    <w:name w:val="annotation text"/>
    <w:basedOn w:val="Normal"/>
    <w:link w:val="KommentartekstTegn"/>
    <w:uiPriority w:val="99"/>
    <w:semiHidden/>
    <w:unhideWhenUsed/>
    <w:rsid w:val="005973DD"/>
    <w:pPr>
      <w:spacing w:line="240" w:lineRule="auto"/>
    </w:pPr>
    <w:rPr>
      <w:szCs w:val="20"/>
    </w:rPr>
  </w:style>
  <w:style w:type="character" w:customStyle="1" w:styleId="KommentartekstTegn">
    <w:name w:val="Kommentartekst Tegn"/>
    <w:basedOn w:val="Standardskrifttypeiafsnit"/>
    <w:link w:val="Kommentartekst"/>
    <w:uiPriority w:val="99"/>
    <w:semiHidden/>
    <w:rsid w:val="005973DD"/>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5973DD"/>
    <w:rPr>
      <w:b/>
      <w:bCs/>
    </w:rPr>
  </w:style>
  <w:style w:type="character" w:customStyle="1" w:styleId="KommentaremneTegn">
    <w:name w:val="Kommentaremne Tegn"/>
    <w:basedOn w:val="KommentartekstTegn"/>
    <w:link w:val="Kommentaremne"/>
    <w:uiPriority w:val="99"/>
    <w:semiHidden/>
    <w:rsid w:val="005973DD"/>
    <w:rPr>
      <w:rFonts w:ascii="Arial" w:hAnsi="Arial"/>
      <w:b/>
      <w:bCs/>
      <w:sz w:val="20"/>
      <w:szCs w:val="20"/>
    </w:rPr>
  </w:style>
  <w:style w:type="paragraph" w:styleId="Fodnotetekst">
    <w:name w:val="footnote text"/>
    <w:basedOn w:val="Normal"/>
    <w:link w:val="FodnotetekstTegn"/>
    <w:uiPriority w:val="99"/>
    <w:semiHidden/>
    <w:unhideWhenUsed/>
    <w:rsid w:val="008E0CEB"/>
    <w:pPr>
      <w:spacing w:line="240" w:lineRule="auto"/>
    </w:pPr>
    <w:rPr>
      <w:szCs w:val="20"/>
    </w:rPr>
  </w:style>
  <w:style w:type="character" w:customStyle="1" w:styleId="FodnotetekstTegn">
    <w:name w:val="Fodnotetekst Tegn"/>
    <w:basedOn w:val="Standardskrifttypeiafsnit"/>
    <w:link w:val="Fodnotetekst"/>
    <w:uiPriority w:val="99"/>
    <w:semiHidden/>
    <w:rsid w:val="008E0CEB"/>
    <w:rPr>
      <w:rFonts w:ascii="Arial" w:hAnsi="Arial"/>
      <w:sz w:val="20"/>
      <w:szCs w:val="20"/>
    </w:rPr>
  </w:style>
  <w:style w:type="character" w:styleId="Fodnotehenvisning">
    <w:name w:val="footnote reference"/>
    <w:basedOn w:val="Standardskrifttypeiafsnit"/>
    <w:uiPriority w:val="99"/>
    <w:semiHidden/>
    <w:unhideWhenUsed/>
    <w:rsid w:val="008E0C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7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viegandmaagoe.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57920\AppData\Local\cBrain\F2\.tmp\920013e9cf5049508081d6ab8a5e2a3c.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920013e9cf5049508081d6ab8a5e2a3c.dotx</Template>
  <TotalTime>3</TotalTime>
  <Pages>2</Pages>
  <Words>330</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www.RiisDATA.com v/Michael Riis Sørensen</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Sølvsten</dc:creator>
  <cp:lastModifiedBy>Peter Sølvsten</cp:lastModifiedBy>
  <cp:revision>4</cp:revision>
  <dcterms:created xsi:type="dcterms:W3CDTF">2021-06-30T15:14:00Z</dcterms:created>
  <dcterms:modified xsi:type="dcterms:W3CDTF">2021-07-05T06:16:00Z</dcterms:modified>
</cp:coreProperties>
</file>